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3725D" w:rsidRPr="0003725D" w14:paraId="152C2E9C" w14:textId="77777777" w:rsidTr="0003725D">
        <w:trPr>
          <w:tblCellSpacing w:w="0" w:type="dxa"/>
        </w:trPr>
        <w:tc>
          <w:tcPr>
            <w:tcW w:w="5000" w:type="pct"/>
            <w:vAlign w:val="bottom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</w:tblGrid>
            <w:tr w:rsidR="0003725D" w:rsidRPr="0003725D" w14:paraId="50D5993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0F4F94E" w14:textId="77777777" w:rsidR="00EF0E13" w:rsidRDefault="00EF0E13" w:rsidP="0003725D">
                  <w:pPr>
                    <w:widowControl/>
                    <w:spacing w:before="100" w:beforeAutospacing="1" w:after="100" w:afterAutospacing="1"/>
                    <w:jc w:val="center"/>
                    <w:outlineLvl w:val="2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关于开展工业和信息化部党的政治建设研究中心</w:t>
                  </w:r>
                </w:p>
                <w:p w14:paraId="2A4C6BF0" w14:textId="074648D4" w:rsidR="0003725D" w:rsidRPr="0003725D" w:rsidRDefault="00EF0E13" w:rsidP="0003725D">
                  <w:pPr>
                    <w:widowControl/>
                    <w:spacing w:before="100" w:beforeAutospacing="1" w:after="100" w:afterAutospacing="1"/>
                    <w:jc w:val="center"/>
                    <w:outlineLvl w:val="2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2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020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年度课题申报工作的通知</w:t>
                  </w:r>
                </w:p>
              </w:tc>
            </w:tr>
          </w:tbl>
          <w:p w14:paraId="2D64F588" w14:textId="77777777" w:rsidR="0003725D" w:rsidRPr="0003725D" w:rsidRDefault="0003725D" w:rsidP="0003725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25D" w:rsidRPr="0003725D" w14:paraId="65FC153C" w14:textId="77777777" w:rsidTr="0003725D">
        <w:trPr>
          <w:tblCellSpacing w:w="0" w:type="dxa"/>
        </w:trPr>
        <w:tc>
          <w:tcPr>
            <w:tcW w:w="0" w:type="auto"/>
            <w:hideMark/>
          </w:tcPr>
          <w:p w14:paraId="5B04E618" w14:textId="77777777" w:rsidR="0003725D" w:rsidRPr="0003725D" w:rsidRDefault="0003725D" w:rsidP="000372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3725D" w:rsidRPr="0003725D" w14:paraId="7C05F756" w14:textId="77777777" w:rsidTr="0003725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4B54FF" w14:textId="46FCA9D4" w:rsidR="00EF0E13" w:rsidRDefault="00EF0E13" w:rsidP="00013FB8">
            <w:pPr>
              <w:widowControl/>
              <w:spacing w:line="384" w:lineRule="auto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各省、自治区、直辖市通信管理局党组，部直属各单位、部属各高校、部机关各司局党委（总支、支部）：</w:t>
            </w:r>
          </w:p>
          <w:p w14:paraId="660C0640" w14:textId="421BB217" w:rsidR="00EF0E13" w:rsidRDefault="00EF0E13" w:rsidP="00EF0E13">
            <w:pPr>
              <w:widowControl/>
              <w:spacing w:line="384" w:lineRule="auto"/>
              <w:ind w:firstLineChars="200" w:firstLine="44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根据</w:t>
            </w:r>
            <w:r w:rsidRPr="00EF0E13"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工业和信息化部党的政治建设研究中心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年度工作安排，现将</w:t>
            </w:r>
            <w:r w:rsidRPr="00EF0E13">
              <w:rPr>
                <w:rFonts w:ascii="Arial" w:eastAsia="微软雅黑" w:hAnsi="Arial" w:cs="Arial"/>
                <w:color w:val="000000"/>
                <w:kern w:val="0"/>
                <w:sz w:val="22"/>
              </w:rPr>
              <w:t>2020</w:t>
            </w:r>
            <w:r w:rsidRPr="00EF0E13">
              <w:rPr>
                <w:rFonts w:ascii="Arial" w:eastAsia="微软雅黑" w:hAnsi="Arial" w:cs="Arial"/>
                <w:color w:val="000000"/>
                <w:kern w:val="0"/>
                <w:sz w:val="22"/>
              </w:rPr>
              <w:t>年度课题申报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有关事项</w:t>
            </w:r>
            <w:r w:rsidRPr="00EF0E13">
              <w:rPr>
                <w:rFonts w:ascii="Arial" w:eastAsia="微软雅黑" w:hAnsi="Arial" w:cs="Arial"/>
                <w:color w:val="000000"/>
                <w:kern w:val="0"/>
                <w:sz w:val="22"/>
              </w:rPr>
              <w:t>通知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如下：</w:t>
            </w:r>
          </w:p>
          <w:p w14:paraId="3B8BEF87" w14:textId="2B5F7CC6" w:rsidR="00EF0E13" w:rsidRDefault="00EF0E13" w:rsidP="00EF0E13">
            <w:pPr>
              <w:pStyle w:val="a7"/>
              <w:widowControl/>
              <w:numPr>
                <w:ilvl w:val="0"/>
                <w:numId w:val="2"/>
              </w:numPr>
              <w:spacing w:line="384" w:lineRule="auto"/>
              <w:ind w:firstLineChars="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 w:rsidRPr="00EF0E13"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指导思想</w:t>
            </w:r>
          </w:p>
          <w:p w14:paraId="09428A21" w14:textId="26A86BDD" w:rsidR="00EF0E13" w:rsidRPr="00EF0E13" w:rsidRDefault="00EF0E13" w:rsidP="00EF0E13">
            <w:pPr>
              <w:widowControl/>
              <w:spacing w:line="384" w:lineRule="auto"/>
              <w:ind w:firstLineChars="200" w:firstLine="440"/>
              <w:jc w:val="left"/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</w:pPr>
            <w:r w:rsidRPr="00EF0E13"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高举中国特色社会主义伟大旗帜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，深入学习贯彻习近平时代中国特色社会主义思想，深入贯彻落实党的十九大和十九届二中、三种、四中全会精神，以党的政治建设为统领，开展重大理论和现实问题研究，形成具有较高理论价值或实践应用价值的研究成果，指导推动工业和信息化事业高质量发展，为党和国家事业发展大局</w:t>
            </w:r>
            <w:proofErr w:type="gramStart"/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作出</w:t>
            </w:r>
            <w:proofErr w:type="gramEnd"/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贡献。</w:t>
            </w:r>
          </w:p>
          <w:p w14:paraId="40685D20" w14:textId="263EBB41" w:rsidR="00EF0E13" w:rsidRPr="00EF0E13" w:rsidRDefault="00EF0E13" w:rsidP="00EF0E13">
            <w:pPr>
              <w:pStyle w:val="a7"/>
              <w:widowControl/>
              <w:numPr>
                <w:ilvl w:val="0"/>
                <w:numId w:val="2"/>
              </w:numPr>
              <w:spacing w:line="384" w:lineRule="auto"/>
              <w:ind w:firstLineChars="0"/>
              <w:jc w:val="left"/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申报内容</w:t>
            </w:r>
          </w:p>
          <w:p w14:paraId="06E8411D" w14:textId="2E649F98" w:rsidR="0030545E" w:rsidRDefault="0030545E" w:rsidP="00EF0E13">
            <w:pPr>
              <w:widowControl/>
              <w:spacing w:line="384" w:lineRule="auto"/>
              <w:ind w:firstLineChars="200" w:firstLine="44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申报课题应根据《</w:t>
            </w:r>
            <w:r w:rsidRPr="0030545E">
              <w:rPr>
                <w:rFonts w:ascii="Arial" w:eastAsia="微软雅黑" w:hAnsi="Arial" w:cs="Arial"/>
                <w:color w:val="000000"/>
                <w:kern w:val="0"/>
                <w:sz w:val="22"/>
              </w:rPr>
              <w:t>工业和信息化部党的政治建设研究中心</w:t>
            </w:r>
            <w:r w:rsidRPr="0030545E">
              <w:rPr>
                <w:rFonts w:ascii="Arial" w:eastAsia="微软雅黑" w:hAnsi="Arial" w:cs="Arial"/>
                <w:color w:val="000000"/>
                <w:kern w:val="0"/>
                <w:sz w:val="22"/>
              </w:rPr>
              <w:t>2020</w:t>
            </w:r>
            <w:r w:rsidRPr="0030545E">
              <w:rPr>
                <w:rFonts w:ascii="Arial" w:eastAsia="微软雅黑" w:hAnsi="Arial" w:cs="Arial"/>
                <w:color w:val="000000"/>
                <w:kern w:val="0"/>
                <w:sz w:val="22"/>
              </w:rPr>
              <w:t>年度课题选题指南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》（附件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）自拟题目，研究内容要体现鲜明的时代特征、问题导向和创新意识，做到理论与实践紧密结合，研究成果要具有一定理论创新价值和实践指导意义，鼓励跨单位、多学科开展联合研究。</w:t>
            </w:r>
          </w:p>
          <w:p w14:paraId="176844A9" w14:textId="7EB92B60" w:rsidR="0030545E" w:rsidRDefault="0030545E" w:rsidP="00EF0E13">
            <w:pPr>
              <w:widowControl/>
              <w:spacing w:line="384" w:lineRule="auto"/>
              <w:ind w:firstLineChars="200" w:firstLine="44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申报课题分为重大课题、重点课题、基础课题三类。重大课题给予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6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万元经费支持，重点课题给予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4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万元经费支持，基础课题给予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2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万元经费支持。课题完成期限均不超过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1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年。</w:t>
            </w:r>
          </w:p>
          <w:p w14:paraId="20C1F68A" w14:textId="4C1BDEEE" w:rsidR="00EF0E13" w:rsidRDefault="00EF0E13" w:rsidP="00013FB8">
            <w:pPr>
              <w:pStyle w:val="a7"/>
              <w:widowControl/>
              <w:numPr>
                <w:ilvl w:val="0"/>
                <w:numId w:val="2"/>
              </w:numPr>
              <w:spacing w:line="384" w:lineRule="auto"/>
              <w:ind w:firstLineChars="0"/>
              <w:jc w:val="left"/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申报条件</w:t>
            </w:r>
          </w:p>
          <w:p w14:paraId="3FB943BB" w14:textId="7A2A11DA" w:rsidR="000766DA" w:rsidRDefault="000766DA" w:rsidP="00013FB8">
            <w:pPr>
              <w:widowControl/>
              <w:spacing w:line="384" w:lineRule="auto"/>
              <w:ind w:firstLineChars="200" w:firstLine="44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lastRenderedPageBreak/>
              <w:t>课题负责人应具备副高级及以上专业技术职称，或担任副处级及以上职务，课题组成员应具备较高理论水平、较强研究能力，且在所申报领域具有一定研究基础。</w:t>
            </w:r>
          </w:p>
          <w:p w14:paraId="3AFBC837" w14:textId="6528A70F" w:rsidR="000766DA" w:rsidRDefault="000766DA" w:rsidP="00013FB8">
            <w:pPr>
              <w:widowControl/>
              <w:spacing w:line="384" w:lineRule="auto"/>
              <w:ind w:firstLineChars="200" w:firstLine="44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课题负责人只能牵头申报一项课题，且不能作为课题组成员参与其他课题。课题组成员最多可同时参与申报两项课题。原则上，上年度未结项的课题，其课题组成员不得申请本年度课题。</w:t>
            </w:r>
          </w:p>
          <w:p w14:paraId="639DCA95" w14:textId="0E174B27" w:rsidR="000766DA" w:rsidRDefault="000766DA" w:rsidP="00013FB8">
            <w:pPr>
              <w:widowControl/>
              <w:spacing w:line="384" w:lineRule="auto"/>
              <w:ind w:firstLineChars="200" w:firstLine="44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不得使用已申报其他课题的材料和出版</w:t>
            </w:r>
            <w:r w:rsidR="00675536"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发表的研究成果申报本中心课题。</w:t>
            </w:r>
          </w:p>
          <w:p w14:paraId="2EAACEEA" w14:textId="530638F7" w:rsidR="00675536" w:rsidRDefault="00675536" w:rsidP="00013FB8">
            <w:pPr>
              <w:pStyle w:val="a7"/>
              <w:widowControl/>
              <w:numPr>
                <w:ilvl w:val="0"/>
                <w:numId w:val="2"/>
              </w:numPr>
              <w:spacing w:line="384" w:lineRule="auto"/>
              <w:ind w:firstLineChars="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结项要求</w:t>
            </w:r>
            <w:proofErr w:type="gramEnd"/>
          </w:p>
          <w:p w14:paraId="00938B2C" w14:textId="4ABDD095" w:rsidR="00013FB8" w:rsidRDefault="00675536" w:rsidP="00013FB8">
            <w:pPr>
              <w:widowControl/>
              <w:spacing w:line="384" w:lineRule="auto"/>
              <w:ind w:firstLineChars="200" w:firstLine="440"/>
              <w:jc w:val="left"/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课题结项时</w:t>
            </w:r>
            <w:proofErr w:type="gramEnd"/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，研究成果除研究报告外，需同时包含下列至少一项材料（重大课题材料须为前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3</w:t>
            </w: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项之一）：</w:t>
            </w:r>
          </w:p>
          <w:p w14:paraId="41CB3382" w14:textId="23A0E292" w:rsidR="00675536" w:rsidRPr="00675536" w:rsidRDefault="00675536" w:rsidP="00675536">
            <w:pPr>
              <w:pStyle w:val="a7"/>
              <w:widowControl/>
              <w:numPr>
                <w:ilvl w:val="0"/>
                <w:numId w:val="1"/>
              </w:numPr>
              <w:spacing w:line="384" w:lineRule="auto"/>
              <w:ind w:firstLineChars="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 w:rsidRPr="00675536"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省部级及以上领导肯定性批示或省部级及以上机构认可材料</w:t>
            </w:r>
          </w:p>
          <w:p w14:paraId="1C4F273C" w14:textId="0838FC9A" w:rsidR="00675536" w:rsidRDefault="00675536" w:rsidP="00675536">
            <w:pPr>
              <w:pStyle w:val="a7"/>
              <w:widowControl/>
              <w:numPr>
                <w:ilvl w:val="0"/>
                <w:numId w:val="1"/>
              </w:numPr>
              <w:spacing w:line="384" w:lineRule="auto"/>
              <w:ind w:firstLineChars="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所提政策建议被国家部委有关部门采纳的证明材料</w:t>
            </w:r>
          </w:p>
          <w:p w14:paraId="0D3F5812" w14:textId="47187C10" w:rsidR="00675536" w:rsidRDefault="00675536" w:rsidP="00675536">
            <w:pPr>
              <w:pStyle w:val="a7"/>
              <w:widowControl/>
              <w:numPr>
                <w:ilvl w:val="0"/>
                <w:numId w:val="1"/>
              </w:numPr>
              <w:spacing w:line="384" w:lineRule="auto"/>
              <w:ind w:firstLineChars="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在《求是》《红旗文摘》《旗帜》及其他重点期刊发表的文章</w:t>
            </w:r>
          </w:p>
          <w:p w14:paraId="115C3CD2" w14:textId="012FE03C" w:rsidR="00675536" w:rsidRDefault="00675536" w:rsidP="00675536">
            <w:pPr>
              <w:pStyle w:val="a7"/>
              <w:widowControl/>
              <w:numPr>
                <w:ilvl w:val="0"/>
                <w:numId w:val="1"/>
              </w:numPr>
              <w:spacing w:line="384" w:lineRule="auto"/>
              <w:ind w:firstLineChars="0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在《人民日报》《光明日报》《经济日报》及其他省部级以上报纸发表的文章</w:t>
            </w:r>
          </w:p>
          <w:p w14:paraId="22DFBA97" w14:textId="1ED117DD" w:rsidR="0003725D" w:rsidRPr="00013FB8" w:rsidRDefault="00675536" w:rsidP="00013FB8">
            <w:pPr>
              <w:pStyle w:val="a7"/>
              <w:widowControl/>
              <w:numPr>
                <w:ilvl w:val="0"/>
                <w:numId w:val="1"/>
              </w:numPr>
              <w:spacing w:line="384" w:lineRule="auto"/>
              <w:ind w:firstLineChars="0"/>
              <w:jc w:val="left"/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</w:pPr>
            <w:r>
              <w:rPr>
                <w:rFonts w:ascii="Arial" w:eastAsia="微软雅黑" w:hAnsi="Arial" w:cs="Arial" w:hint="eastAsia"/>
                <w:color w:val="000000"/>
                <w:kern w:val="0"/>
                <w:sz w:val="22"/>
              </w:rPr>
              <w:t>公开出版的专著</w:t>
            </w:r>
          </w:p>
        </w:tc>
      </w:tr>
      <w:tr w:rsidR="000766DA" w:rsidRPr="0003725D" w14:paraId="1FA158E3" w14:textId="77777777" w:rsidTr="0003725D">
        <w:trPr>
          <w:tblCellSpacing w:w="0" w:type="dxa"/>
        </w:trPr>
        <w:tc>
          <w:tcPr>
            <w:tcW w:w="0" w:type="auto"/>
            <w:vAlign w:val="center"/>
          </w:tcPr>
          <w:p w14:paraId="78A9A810" w14:textId="77777777" w:rsidR="000766DA" w:rsidRDefault="000766DA" w:rsidP="0003725D">
            <w:pPr>
              <w:widowControl/>
              <w:spacing w:line="384" w:lineRule="auto"/>
              <w:jc w:val="left"/>
              <w:rPr>
                <w:rFonts w:ascii="Arial" w:eastAsia="微软雅黑" w:hAnsi="Arial" w:cs="Arial"/>
                <w:color w:val="000000"/>
                <w:kern w:val="0"/>
                <w:sz w:val="22"/>
              </w:rPr>
            </w:pPr>
          </w:p>
        </w:tc>
      </w:tr>
    </w:tbl>
    <w:p w14:paraId="2E2DFA49" w14:textId="77777777" w:rsidR="00541F32" w:rsidRPr="0003725D" w:rsidRDefault="00B825E8"/>
    <w:sectPr w:rsidR="00541F32" w:rsidRPr="00037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D6C56" w14:textId="77777777" w:rsidR="00B825E8" w:rsidRDefault="00B825E8" w:rsidP="0003725D">
      <w:r>
        <w:separator/>
      </w:r>
    </w:p>
  </w:endnote>
  <w:endnote w:type="continuationSeparator" w:id="0">
    <w:p w14:paraId="7CE62D04" w14:textId="77777777" w:rsidR="00B825E8" w:rsidRDefault="00B825E8" w:rsidP="0003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5AAC7" w14:textId="77777777" w:rsidR="00B825E8" w:rsidRDefault="00B825E8" w:rsidP="0003725D">
      <w:r>
        <w:separator/>
      </w:r>
    </w:p>
  </w:footnote>
  <w:footnote w:type="continuationSeparator" w:id="0">
    <w:p w14:paraId="756E5DA4" w14:textId="77777777" w:rsidR="00B825E8" w:rsidRDefault="00B825E8" w:rsidP="0003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E2738"/>
    <w:multiLevelType w:val="hybridMultilevel"/>
    <w:tmpl w:val="4768CFF2"/>
    <w:lvl w:ilvl="0" w:tplc="77C43308">
      <w:start w:val="1"/>
      <w:numFmt w:val="japaneseCounting"/>
      <w:lvlText w:val="%1、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1F2457D1"/>
    <w:multiLevelType w:val="hybridMultilevel"/>
    <w:tmpl w:val="BF1C4288"/>
    <w:lvl w:ilvl="0" w:tplc="DC58D7D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C2"/>
    <w:rsid w:val="00013FB8"/>
    <w:rsid w:val="0003725D"/>
    <w:rsid w:val="000766DA"/>
    <w:rsid w:val="001153BF"/>
    <w:rsid w:val="002F46B5"/>
    <w:rsid w:val="0030545E"/>
    <w:rsid w:val="005E789F"/>
    <w:rsid w:val="005F1FD9"/>
    <w:rsid w:val="00675536"/>
    <w:rsid w:val="008D41AD"/>
    <w:rsid w:val="008D7D06"/>
    <w:rsid w:val="009E53DB"/>
    <w:rsid w:val="00A03E58"/>
    <w:rsid w:val="00B825E8"/>
    <w:rsid w:val="00E2101D"/>
    <w:rsid w:val="00E733C2"/>
    <w:rsid w:val="00E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EE0FE"/>
  <w15:chartTrackingRefBased/>
  <w15:docId w15:val="{46C5FFC4-6A57-41B5-B85A-1F26F4CA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3725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2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25D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03725D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rsid w:val="006755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wkb</dc:creator>
  <cp:keywords/>
  <dc:description/>
  <cp:lastModifiedBy>wkb</cp:lastModifiedBy>
  <cp:revision>2</cp:revision>
  <dcterms:created xsi:type="dcterms:W3CDTF">2020-08-09T11:50:00Z</dcterms:created>
  <dcterms:modified xsi:type="dcterms:W3CDTF">2020-08-09T11:50:00Z</dcterms:modified>
</cp:coreProperties>
</file>