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ind w:firstLine="283" w:firstLineChars="64"/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工作总结</w:t>
      </w:r>
    </w:p>
    <w:p>
      <w:pPr>
        <w:spacing w:line="460" w:lineRule="exact"/>
        <w:ind w:firstLine="154" w:firstLineChars="64"/>
        <w:jc w:val="right"/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hint="eastAsia" w:asciiTheme="majorEastAsia" w:hAnsiTheme="majorEastAsia" w:eastAsiaTheme="majorEastAsia"/>
          <w:b/>
          <w:sz w:val="24"/>
          <w:szCs w:val="24"/>
          <w:lang w:eastAsia="zh-CN"/>
        </w:rPr>
        <w:t>田兰兰</w:t>
      </w:r>
    </w:p>
    <w:p>
      <w:pPr>
        <w:spacing w:line="460" w:lineRule="exac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业绩和学术成果：</w:t>
      </w:r>
    </w:p>
    <w:p>
      <w:pPr>
        <w:spacing w:line="460" w:lineRule="exact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成果1：</w:t>
      </w:r>
      <w:r>
        <w:rPr>
          <w:rFonts w:hint="eastAsia" w:asciiTheme="minorEastAsia" w:hAnsiTheme="minorEastAsia"/>
          <w:sz w:val="24"/>
          <w:szCs w:val="24"/>
          <w:lang w:eastAsia="zh-CN"/>
        </w:rPr>
        <w:t>参与</w:t>
      </w:r>
      <w:r>
        <w:rPr>
          <w:rFonts w:hint="eastAsia" w:asciiTheme="minorEastAsia" w:hAnsiTheme="minorEastAsia" w:eastAsiaTheme="minorEastAsia"/>
          <w:sz w:val="24"/>
          <w:szCs w:val="24"/>
        </w:rPr>
        <w:t>项目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项</w:t>
      </w:r>
      <w:r>
        <w:rPr>
          <w:rFonts w:hint="eastAsia" w:asciiTheme="minorEastAsia" w:hAnsiTheme="minorEastAsia"/>
          <w:sz w:val="24"/>
          <w:szCs w:val="24"/>
          <w:lang w:eastAsia="zh-CN"/>
        </w:rPr>
        <w:t>（国家级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1项，省部级1</w:t>
      </w: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  <w:lang w:val="en-US" w:eastAsia="zh-CN"/>
        </w:rPr>
        <w:t>项</w:t>
      </w:r>
      <w:r>
        <w:rPr>
          <w:rFonts w:hint="eastAsia" w:asciiTheme="minorEastAsia" w:hAnsiTheme="minorEastAsia"/>
          <w:sz w:val="24"/>
          <w:szCs w:val="24"/>
          <w:lang w:eastAsia="zh-CN"/>
        </w:rPr>
        <w:t>）</w:t>
      </w:r>
    </w:p>
    <w:p>
      <w:pPr>
        <w:spacing w:line="460" w:lineRule="exact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成果2：发表论文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4"/>
          <w:szCs w:val="24"/>
        </w:rPr>
        <w:t>篇，第一作者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篇（国家级</w:t>
      </w:r>
      <w:r>
        <w:rPr>
          <w:rFonts w:hint="eastAsia" w:asciiTheme="minorEastAsia" w:hAnsiTheme="minorEastAsia"/>
          <w:sz w:val="24"/>
          <w:szCs w:val="24"/>
          <w:lang w:eastAsia="zh-CN"/>
        </w:rPr>
        <w:t>期刊</w:t>
      </w: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  <w:lang w:eastAsia="zh-CN"/>
        </w:rPr>
        <w:t>篇</w:t>
      </w:r>
      <w:r>
        <w:rPr>
          <w:rFonts w:hint="eastAsia" w:asciiTheme="minorEastAsia" w:hAnsiTheme="minorEastAsia" w:eastAsiaTheme="minorEastAsia"/>
          <w:sz w:val="24"/>
          <w:szCs w:val="24"/>
        </w:rPr>
        <w:t>、省级期刊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篇）；</w:t>
      </w:r>
      <w:r>
        <w:rPr>
          <w:rFonts w:hint="eastAsia" w:asciiTheme="minorEastAsia" w:hAnsiTheme="minorEastAsia"/>
          <w:sz w:val="24"/>
          <w:szCs w:val="24"/>
          <w:lang w:eastAsia="zh-CN"/>
        </w:rPr>
        <w:t>第二作者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4篇（</w:t>
      </w:r>
      <w:r>
        <w:rPr>
          <w:rFonts w:hint="eastAsia" w:asciiTheme="minorEastAsia" w:hAnsiTheme="minorEastAsia" w:eastAsiaTheme="minorEastAsia"/>
          <w:sz w:val="24"/>
          <w:szCs w:val="24"/>
        </w:rPr>
        <w:t>核心期刊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篇，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EI1篇）</w:t>
      </w:r>
    </w:p>
    <w:p>
      <w:pPr>
        <w:spacing w:line="460" w:lineRule="exact"/>
        <w:ind w:firstLine="480" w:firstLineChars="200"/>
        <w:rPr>
          <w:rFonts w:cs="宋体" w:asciiTheme="minorEastAsia" w:hAnsiTheme="minorEastAsia" w:eastAsiaTheme="minorEastAsia"/>
          <w:sz w:val="24"/>
          <w:szCs w:val="24"/>
          <w:lang w:val="en-GB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成果3：论著</w:t>
      </w:r>
      <w:r>
        <w:rPr>
          <w:rFonts w:hint="eastAsia" w:asciiTheme="minorEastAsia" w:hAnsiTheme="minorEastAsia"/>
          <w:sz w:val="24"/>
          <w:szCs w:val="24"/>
          <w:lang w:eastAsia="zh-CN"/>
        </w:rPr>
        <w:t>合</w:t>
      </w:r>
      <w:r>
        <w:rPr>
          <w:rFonts w:hint="eastAsia" w:asciiTheme="minorEastAsia" w:hAnsiTheme="minorEastAsia" w:eastAsiaTheme="minorEastAsia"/>
          <w:sz w:val="24"/>
          <w:szCs w:val="24"/>
        </w:rPr>
        <w:t>著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部，第二作者，</w:t>
      </w:r>
      <w:r>
        <w:rPr>
          <w:rFonts w:hint="eastAsia" w:asciiTheme="minorEastAsia" w:hAnsiTheme="minorEastAsia"/>
          <w:sz w:val="24"/>
          <w:szCs w:val="24"/>
          <w:lang w:eastAsia="zh-CN"/>
        </w:rPr>
        <w:t>共计约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18</w:t>
      </w:r>
      <w:r>
        <w:rPr>
          <w:rFonts w:hint="eastAsia" w:asciiTheme="minorEastAsia" w:hAnsiTheme="minorEastAsia" w:eastAsiaTheme="minorEastAsia"/>
          <w:sz w:val="24"/>
          <w:szCs w:val="24"/>
        </w:rPr>
        <w:t>万字</w:t>
      </w:r>
    </w:p>
    <w:p>
      <w:pPr>
        <w:spacing w:line="46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最有特色的工作与成果：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GB" w:eastAsia="zh-CN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GB" w:eastAsia="zh-CN"/>
        </w:rPr>
        <w:t>创建图书馆新媒体平台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创建微信、抖音、微博、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B站等多元一体新媒体平台，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推出“慢听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·静时光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”音频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类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、“领读者”视频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类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、“工大说”访谈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类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、“雕刻时光”观影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类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、“致远”读书会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等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多元阅读推广栏目。依托平台开展读书节、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文化大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赛、展览、读书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沙龙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、英语角等文化活动，组建讲解团提供参观导览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打造图书馆为学习研讨空间，学校形象宣传和校园文化阵地。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协助兄弟院校图书馆建立、完善图书馆新媒体平台，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为移动阅读平台的搭建提供有效的分析方法。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Times New Roman"/>
          <w:b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US" w:eastAsia="zh-CN"/>
        </w:rPr>
        <w:t>2.信息化支撑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参与调研大学学科服务情况，取得科技查新资格证，举办数字资源讲座，制作线上微课，出版“十三五”规划教材《文献信息检索与利用》、参编专著《现代图书馆资源管理与推广》，细致梳理数据库、数字图书馆的检索方法，为教学提供信息化支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Times New Roman"/>
          <w:b/>
          <w:color w:val="000000"/>
          <w:kern w:val="2"/>
          <w:sz w:val="24"/>
          <w:szCs w:val="24"/>
        </w:rPr>
        <w:t>人才培养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指导、管理“新媒体推广中心”等9个学生社团，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制定社团规章制度，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充分发挥学生自身的兴趣和优势，培养新型工科人才。带领团队获得“全国高校阅读推广十佳优秀学生团队”称号，被评为“全国高校公众号优秀指导教师”、“威海市阅读推广先进个人”。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Times New Roman"/>
          <w:b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cs="Times New Roman"/>
          <w:b/>
          <w:color w:val="000000"/>
          <w:kern w:val="2"/>
          <w:sz w:val="24"/>
          <w:szCs w:val="24"/>
          <w:lang w:val="en-US" w:eastAsia="zh-CN"/>
        </w:rPr>
        <w:t>国际合作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协助农林科学院进行日文机器人相关文献查阅与英语论文修改工作，对于采摘机器人系统搭建具有指导作用。与北京第二外国语学院、境外科研机构合作进行“信息化时代移动智能终端在大学日语教学中的创新型应用模式研究”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推进教学模式的改革与创新。</w:t>
      </w:r>
    </w:p>
    <w:p>
      <w:pPr>
        <w:spacing w:line="460" w:lineRule="exact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="宋体" w:hAnsi="宋体"/>
          <w:b/>
          <w:sz w:val="28"/>
        </w:rPr>
        <w:t>其它工作成绩：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1.学科服务工作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 xml:space="preserve">论文查证529篇，文献传递115篇，校外访问385例，收录硕士论文550篇。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调研外校学科服务工作情况。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完善文献传递工作流程，撰写规章制度。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整理维护图书馆数据库资源，撰写数据库使用说明。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 xml:space="preserve">2.办公室工作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编撰发布各类通知新闻500余条。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接待参观60余次，会议布置与准备工作。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向图书馆报等提供通讯、稿件。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图书馆学会单位负责人，与总校联络学术会议事宜。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图书馆文创产品、入馆手册、捐赠证书的设计与制作。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策划、宣传、组织读书节等大型校园活动。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管理馆内社团的注册、审核、奖励及意识形态工作。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3.新馆准备工作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参与新馆筹备会议。组建志愿讲解团。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调研报告厅与咖啡角的使用方式和设置需求。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跟进新馆建设宣传，影像记录，策划开馆活动与文案。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联系搬家公司，调度协调搬迁进程。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书架整理、光盘打包、过刊消毒，志愿者管理与分配。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与后勤沟通照明、修改电路、消防调试、保洁进度。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开馆典礼筹备与沟通，引领嘉宾参观与讲解。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党务宣传工作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200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年加入中国共产党，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政治立场坚定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，积极宣传党的政策，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负责党会及党务活动的会议记录和新闻撰写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。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秉承与时俱进的工作理念，促进党建工作质量的提升，发表文章《新媒体背景下高校党建工作研究》。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.馆内科研工作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提出合理化建议20余项，主持参与馆内项目10余项。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en-GB" w:eastAsia="zh-CN"/>
        </w:rPr>
        <w:t>获得科研工作优秀奖、优秀项目一等奖、先进工作者、优秀组织奖等荣誉</w:t>
      </w:r>
      <w:r>
        <w:rPr>
          <w:rFonts w:hint="eastAsia" w:asciiTheme="minorEastAsia" w:hAnsiTheme="minorEastAsia"/>
          <w:sz w:val="24"/>
          <w:szCs w:val="24"/>
          <w:lang w:val="en-GB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EE783"/>
    <w:multiLevelType w:val="singleLevel"/>
    <w:tmpl w:val="90AEE783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97BB735"/>
    <w:multiLevelType w:val="singleLevel"/>
    <w:tmpl w:val="597BB735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C5730"/>
    <w:rsid w:val="17771C7E"/>
    <w:rsid w:val="2D1C5730"/>
    <w:rsid w:val="378B7743"/>
    <w:rsid w:val="56487E44"/>
    <w:rsid w:val="590D4BB1"/>
    <w:rsid w:val="79CC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2021-10-22T08:03:00Z</dcterms:created>
  <dc:creator>WPS_331530414</dc:creator>
  <cp:lastModifiedBy>WPS_331530414</cp:lastModifiedBy>
  <dcterms:modified xsi:type="dcterms:W3CDTF">2021-10-25T07:55:46Z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7681FB5A745040DBB65808EB95F24EF9</vt:lpwstr>
  </property>
</Properties>
</file>